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800"/>
        <w:tblLayout w:type="fixed"/>
        <w:tblLook w:firstColumn="1" w:firstRow="1" w:lastColumn="0" w:lastRow="0" w:noHBand="0" w:noVBand="1" w:val="04A0"/>
        <w:tblInd w:w="0" w:type="dxa"/>
        <w:tblBorders>
          <w:top w:val="nil"/>
          <w:left w:val="nil"/>
          <w:bottom w:val="nil"/>
          <w:right w:val="nil"/>
          <w:insideH w:val="nil"/>
          <w:insideV w:val="nil"/>
        </w:tblBorders>
      </w:tblPr>
      <w:tblGrid>
        <w:gridCol w:w="6400"/>
        <w:gridCol w:w="4400"/>
      </w:tblGrid>
      <w:tr>
        <w:tc>
          <w:tcPr>
            <w:tcW w:type="dxa" w:w="10800"/>
            <w:gridSpan w:val="2"/>
            <w:tcMar>
              <w:top w:w="0" w:type="dxa"/>
              <w:start w:w="0" w:type="dxa"/>
              <w:bottom w:w="0" w:type="dxa"/>
              <w:end w:w="0" w:type="dxa"/>
            </w:tcMar>
          </w:tcPr>
          <w:p>
            <w:pPr>
              <w:spacing w:after="40"/>
              <w:jc w:val="left"/>
            </w:pPr>
            <w:r>
              <w:drawing>
                <wp:inline xmlns:a="http://schemas.openxmlformats.org/drawingml/2006/main" xmlns:pic="http://schemas.openxmlformats.org/drawingml/2006/picture">
                  <wp:extent cx="6629400" cy="1657350"/>
                  <wp:docPr id="1" name="Picture 1"/>
                  <wp:cNvGraphicFramePr>
                    <a:graphicFrameLocks noChangeAspect="1"/>
                  </wp:cNvGraphicFramePr>
                  <a:graphic>
                    <a:graphicData uri="http://schemas.openxmlformats.org/drawingml/2006/picture">
                      <pic:pic>
                        <pic:nvPicPr>
                          <pic:cNvPr id="0" name="mena-lab-logo.png"/>
                          <pic:cNvPicPr/>
                        </pic:nvPicPr>
                        <pic:blipFill>
                          <a:blip r:embed="rId9"/>
                          <a:stretch>
                            <a:fillRect/>
                          </a:stretch>
                        </pic:blipFill>
                        <pic:spPr>
                          <a:xfrm>
                            <a:off x="0" y="0"/>
                            <a:ext cx="6629400" cy="1657350"/>
                          </a:xfrm>
                          <a:prstGeom prst="rect"/>
                        </pic:spPr>
                      </pic:pic>
                    </a:graphicData>
                  </a:graphic>
                </wp:inline>
              </w:drawing>
            </w:r>
          </w:p>
        </w:tc>
      </w:tr>
    </w:tbl>
    <w:tbl>
      <w:tblPr>
        <w:tblW w:type="dxa" w:w="10800"/>
        <w:tblLayout w:type="fixed"/>
        <w:tblLook w:firstColumn="1" w:firstRow="1" w:lastColumn="0" w:lastRow="0" w:noHBand="0" w:noVBand="1" w:val="04A0"/>
        <w:tblInd w:w="0" w:type="dxa"/>
        <w:tblBorders>
          <w:top w:val="nil"/>
          <w:left w:val="nil"/>
          <w:bottom w:val="nil"/>
          <w:right w:val="nil"/>
          <w:insideH w:val="nil"/>
          <w:insideV w:val="nil"/>
        </w:tblBorders>
      </w:tblPr>
      <w:tblGrid>
        <w:gridCol w:w="7600"/>
        <w:gridCol w:w="3200"/>
      </w:tblGrid>
      <w:tr>
        <w:tc>
          <w:tcPr>
            <w:tcW w:type="dxa" w:w="7600"/>
            <w:shd w:fill="1647FF"/>
            <w:tcMar>
              <w:top w:w="95" w:type="dxa"/>
              <w:start w:w="150" w:type="dxa"/>
              <w:bottom w:w="95" w:type="dxa"/>
              <w:end w:w="150" w:type="dxa"/>
            </w:tcMar>
          </w:tcPr>
          <w:p>
            <w:r>
              <w:rPr>
                <w:rFonts w:ascii="Arial" w:hAnsi="Arial"/>
                <w:b/>
                <w:color w:val="FBFBF7"/>
                <w:sz w:val="16"/>
              </w:rPr>
              <w:t>INDEPENDENT RESEARCH INFRASTRUCTURE</w:t>
            </w:r>
          </w:p>
        </w:tc>
        <w:tc>
          <w:tcPr>
            <w:tcW w:type="dxa" w:w="3200"/>
            <w:shd w:fill="1647FF"/>
            <w:tcMar>
              <w:top w:w="95" w:type="dxa"/>
              <w:start w:w="150" w:type="dxa"/>
              <w:bottom w:w="95" w:type="dxa"/>
              <w:end w:w="150" w:type="dxa"/>
            </w:tcMar>
          </w:tcPr>
          <w:p>
            <w:pPr>
              <w:jc w:val="right"/>
            </w:pPr>
            <w:r>
              <w:rPr>
                <w:rFonts w:ascii="Arial" w:hAnsi="Arial"/>
                <w:b/>
                <w:color w:val="D9FF4F"/>
                <w:sz w:val="16"/>
              </w:rPr>
              <w:t>INSTITUTIONAL PROFILE · 2026</w:t>
            </w:r>
          </w:p>
        </w:tc>
      </w:tr>
    </w:tbl>
    <w:p>
      <w:pPr>
        <w:spacing w:before="260" w:after="240" w:line="226" w:lineRule="auto"/>
      </w:pPr>
      <w:r>
        <w:rPr>
          <w:rFonts w:ascii="Arial" w:hAnsi="Arial"/>
          <w:b/>
          <w:color w:val="10110F"/>
          <w:sz w:val="52"/>
        </w:rPr>
        <w:t>Evidence for a region</w:t>
        <w:br/>
        <w:t>measured in fragments.</w:t>
      </w:r>
    </w:p>
    <w:tbl>
      <w:tblPr>
        <w:tblW w:type="dxa" w:w="10800"/>
        <w:tblLayout w:type="fixed"/>
        <w:tblLook w:firstColumn="1" w:firstRow="1" w:lastColumn="0" w:lastRow="0" w:noHBand="0" w:noVBand="1" w:val="04A0"/>
        <w:tblInd w:w="0" w:type="dxa"/>
        <w:tblBorders>
          <w:top w:val="nil"/>
          <w:left w:val="nil"/>
          <w:bottom w:val="nil"/>
          <w:right w:val="nil"/>
          <w:insideH w:val="nil"/>
          <w:insideV w:val="nil"/>
        </w:tblBorders>
      </w:tblPr>
      <w:tblGrid>
        <w:gridCol w:w="5150"/>
        <w:gridCol w:w="5650"/>
      </w:tblGrid>
      <w:tr>
        <w:tc>
          <w:tcPr>
            <w:tcW w:type="dxa" w:w="5150"/>
            <w:tcMar>
              <w:top w:w="100" w:type="dxa"/>
              <w:start w:w="0" w:type="dxa"/>
              <w:bottom w:w="100" w:type="dxa"/>
              <w:end w:w="230" w:type="dxa"/>
            </w:tcMar>
          </w:tcPr>
          <w:p>
            <w:pPr>
              <w:keepNext/>
              <w:spacing w:after="140"/>
            </w:pPr>
            <w:r>
              <w:rPr>
                <w:rFonts w:ascii="Arial" w:hAnsi="Arial"/>
                <w:b/>
                <w:color w:val="1647FF"/>
                <w:sz w:val="28"/>
              </w:rPr>
              <w:t>Mission</w:t>
            </w:r>
          </w:p>
          <w:p>
            <w:pPr>
              <w:spacing w:after="80" w:line="269" w:lineRule="auto"/>
            </w:pPr>
            <w:r>
              <w:rPr>
                <w:rFonts w:ascii="Arial" w:hAnsi="Arial"/>
                <w:b w:val="0"/>
                <w:color w:val="10110F"/>
                <w:sz w:val="19"/>
              </w:rPr>
              <w:t>The MENA Open Data &amp; Evidence Lab builds traceable datasets, reproducible research software and methods capacity for questions that matter across the Middle East and North Africa.</w:t>
            </w:r>
          </w:p>
        </w:tc>
        <w:tc>
          <w:tcPr>
            <w:tcW w:type="dxa" w:w="5650"/>
            <w:tcMar>
              <w:top w:w="100" w:type="dxa"/>
              <w:start w:w="0" w:type="dxa"/>
              <w:bottom w:w="100" w:type="dxa"/>
              <w:end w:w="230" w:type="dxa"/>
            </w:tcMar>
          </w:tcPr>
          <w:p>
            <w:pPr>
              <w:keepNext/>
              <w:spacing w:after="140"/>
            </w:pPr>
            <w:r>
              <w:rPr>
                <w:rFonts w:ascii="Arial" w:hAnsi="Arial"/>
                <w:b/>
                <w:color w:val="1647FF"/>
                <w:sz w:val="28"/>
              </w:rPr>
              <w:t>What we do</w:t>
            </w:r>
          </w:p>
          <w:p>
            <w:pPr>
              <w:spacing w:after="80" w:line="269" w:lineRule="auto"/>
            </w:pPr>
            <w:r>
              <w:rPr>
                <w:rFonts w:ascii="Arial" w:hAnsi="Arial"/>
                <w:b w:val="0"/>
                <w:color w:val="10110F"/>
                <w:sz w:val="19"/>
              </w:rPr>
              <w:t>We preserve source definitions, revisions, rights and uncertainty so every published number can be traced to what was actually released—and what it can responsibly support.</w:t>
            </w:r>
          </w:p>
        </w:tc>
      </w:tr>
    </w:tbl>
    <w:tbl>
      <w:tblPr>
        <w:tblW w:type="dxa" w:w="10800"/>
        <w:tblLayout w:type="fixed"/>
        <w:tblLook w:firstColumn="1" w:firstRow="1" w:lastColumn="0" w:lastRow="0" w:noHBand="0" w:noVBand="1" w:val="04A0"/>
        <w:tblInd w:w="0" w:type="dxa"/>
        <w:tblBorders>
          <w:top w:val="nil"/>
          <w:left w:val="nil"/>
          <w:bottom w:val="nil"/>
          <w:right w:val="nil"/>
          <w:insideH w:val="nil"/>
          <w:insideV w:val="nil"/>
        </w:tblBorders>
      </w:tblPr>
      <w:tblGrid>
        <w:gridCol w:w="1400"/>
        <w:gridCol w:w="9400"/>
      </w:tblGrid>
      <w:tr>
        <w:tc>
          <w:tcPr>
            <w:tcW w:type="dxa" w:w="1400"/>
            <w:shd w:fill="10110F"/>
            <w:tcMar>
              <w:top w:w="150" w:type="dxa"/>
              <w:start w:w="180" w:type="dxa"/>
              <w:bottom w:w="150" w:type="dxa"/>
              <w:end w:w="180" w:type="dxa"/>
            </w:tcMar>
          </w:tcPr>
          <w:p>
            <w:r>
              <w:rPr>
                <w:rFonts w:ascii="Arial" w:hAnsi="Arial"/>
                <w:b/>
                <w:color w:val="D9FF4F"/>
                <w:sz w:val="36"/>
              </w:rPr>
              <w:t>G / 01</w:t>
            </w:r>
          </w:p>
        </w:tc>
        <w:tc>
          <w:tcPr>
            <w:tcW w:type="dxa" w:w="9400"/>
            <w:shd w:fill="10110F"/>
            <w:tcMar>
              <w:top w:w="150" w:type="dxa"/>
              <w:start w:w="180" w:type="dxa"/>
              <w:bottom w:w="150" w:type="dxa"/>
              <w:end w:w="180" w:type="dxa"/>
            </w:tcMar>
          </w:tcPr>
          <w:p>
            <w:r>
              <w:rPr>
                <w:rFonts w:ascii="Arial" w:hAnsi="Arial"/>
                <w:b/>
                <w:color w:val="D9FF4F"/>
                <w:sz w:val="15"/>
              </w:rPr>
              <w:t>GOVERNANCE</w:t>
            </w:r>
          </w:p>
          <w:p>
            <w:pPr>
              <w:spacing w:before="80" w:after="0" w:line="259" w:lineRule="auto"/>
            </w:pPr>
            <w:r>
              <w:rPr>
                <w:rFonts w:ascii="Arial" w:hAnsi="Arial"/>
                <w:b w:val="0"/>
                <w:color w:val="FBFBF7"/>
                <w:sz w:val="18"/>
              </w:rPr>
              <w:t>The Lab is an independent research initiative. Research priorities and methodological standards are overseen by the Research Director, with contributions from independent researchers and collaborators. Outputs follow principles of transparency, reproducibility and open research.</w:t>
            </w:r>
          </w:p>
        </w:tc>
      </w:tr>
    </w:tbl>
    <w:tbl>
      <w:tblPr>
        <w:tblW w:type="dxa" w:w="10800"/>
        <w:tblLayout w:type="fixed"/>
        <w:tblLook w:firstColumn="1" w:firstRow="1" w:lastColumn="0" w:lastRow="0" w:noHBand="0" w:noVBand="1" w:val="04A0"/>
        <w:tblInd w:w="0" w:type="dxa"/>
        <w:tblBorders>
          <w:top w:val="nil"/>
          <w:left w:val="nil"/>
          <w:bottom w:val="nil"/>
          <w:right w:val="nil"/>
          <w:insideH w:val="nil"/>
          <w:insideV w:val="nil"/>
        </w:tblBorders>
      </w:tblPr>
      <w:tblGrid>
        <w:gridCol w:w="5400"/>
        <w:gridCol w:w="5400"/>
      </w:tblGrid>
      <w:tr>
        <w:tc>
          <w:tcPr>
            <w:tcW w:type="dxa" w:w="5400"/>
            <w:tcMar>
              <w:top w:w="175" w:type="dxa"/>
              <w:start w:w="0" w:type="dxa"/>
              <w:bottom w:w="100" w:type="dxa"/>
              <w:end w:w="250" w:type="dxa"/>
            </w:tcMar>
          </w:tcPr>
          <w:p>
            <w:pPr>
              <w:keepNext/>
              <w:spacing w:after="140"/>
            </w:pPr>
            <w:r>
              <w:rPr>
                <w:rFonts w:ascii="Arial" w:hAnsi="Arial"/>
                <w:b/>
                <w:color w:val="1647FF"/>
                <w:sz w:val="30"/>
              </w:rPr>
              <w:t>Areas of work</w:t>
            </w:r>
          </w:p>
          <w:p>
            <w:pPr>
              <w:spacing w:after="50"/>
              <w:ind w:left="230" w:hanging="230"/>
            </w:pPr>
            <w:r>
              <w:rPr>
                <w:rFonts w:ascii="Arial" w:hAnsi="Arial"/>
                <w:b/>
                <w:color w:val="D9FF4F"/>
                <w:sz w:val="13"/>
              </w:rPr>
              <w:t xml:space="preserve">■  </w:t>
            </w:r>
            <w:r>
              <w:rPr>
                <w:rFonts w:ascii="Arial" w:hAnsi="Arial"/>
                <w:b w:val="0"/>
                <w:color w:val="10110F"/>
                <w:sz w:val="17"/>
              </w:rPr>
              <w:t>Public statistics, definitions and revisions</w:t>
            </w:r>
          </w:p>
          <w:p>
            <w:pPr>
              <w:spacing w:after="50"/>
              <w:ind w:left="230" w:hanging="230"/>
            </w:pPr>
            <w:r>
              <w:rPr>
                <w:rFonts w:ascii="Arial" w:hAnsi="Arial"/>
                <w:b/>
                <w:color w:val="D9FF4F"/>
                <w:sz w:val="13"/>
              </w:rPr>
              <w:t xml:space="preserve">■  </w:t>
            </w:r>
            <w:r>
              <w:rPr>
                <w:rFonts w:ascii="Arial" w:hAnsi="Arial"/>
                <w:b w:val="0"/>
                <w:color w:val="10110F"/>
                <w:sz w:val="17"/>
              </w:rPr>
              <w:t>Firms, AI adoption and labor adjustment</w:t>
            </w:r>
          </w:p>
          <w:p>
            <w:pPr>
              <w:spacing w:after="50"/>
              <w:ind w:left="230" w:hanging="230"/>
            </w:pPr>
            <w:r>
              <w:rPr>
                <w:rFonts w:ascii="Arial" w:hAnsi="Arial"/>
                <w:b/>
                <w:color w:val="D9FF4F"/>
                <w:sz w:val="13"/>
              </w:rPr>
              <w:t xml:space="preserve">■  </w:t>
            </w:r>
            <w:r>
              <w:rPr>
                <w:rFonts w:ascii="Arial" w:hAnsi="Arial"/>
                <w:b w:val="0"/>
                <w:color w:val="10110F"/>
                <w:sz w:val="17"/>
              </w:rPr>
              <w:t>Prices, market stress and economic narratives</w:t>
            </w:r>
          </w:p>
          <w:p>
            <w:pPr>
              <w:spacing w:after="50"/>
              <w:ind w:left="230" w:hanging="230"/>
            </w:pPr>
            <w:r>
              <w:rPr>
                <w:rFonts w:ascii="Arial" w:hAnsi="Arial"/>
                <w:b/>
                <w:color w:val="D9FF4F"/>
                <w:sz w:val="13"/>
              </w:rPr>
              <w:t xml:space="preserve">■  </w:t>
            </w:r>
            <w:r>
              <w:rPr>
                <w:rFonts w:ascii="Arial" w:hAnsi="Arial"/>
                <w:b w:val="0"/>
                <w:color w:val="10110F"/>
                <w:sz w:val="17"/>
              </w:rPr>
              <w:t>Econometric methods, replication and validation</w:t>
            </w:r>
          </w:p>
          <w:p>
            <w:pPr>
              <w:spacing w:after="50"/>
              <w:ind w:left="230" w:hanging="230"/>
            </w:pPr>
            <w:r>
              <w:rPr>
                <w:rFonts w:ascii="Arial" w:hAnsi="Arial"/>
                <w:b/>
                <w:color w:val="D9FF4F"/>
                <w:sz w:val="13"/>
              </w:rPr>
              <w:t xml:space="preserve">■  </w:t>
            </w:r>
            <w:r>
              <w:rPr>
                <w:rFonts w:ascii="Arial" w:hAnsi="Arial"/>
                <w:b w:val="0"/>
                <w:color w:val="10110F"/>
                <w:sz w:val="17"/>
              </w:rPr>
              <w:t>Research data engineering and provenance</w:t>
            </w:r>
          </w:p>
          <w:p>
            <w:pPr>
              <w:keepNext/>
              <w:spacing w:after="140"/>
            </w:pPr>
            <w:r>
              <w:rPr>
                <w:rFonts w:ascii="Arial" w:hAnsi="Arial"/>
                <w:b/>
                <w:color w:val="1647FF"/>
                <w:sz w:val="30"/>
              </w:rPr>
              <w:t>Leadership &amp; people</w:t>
            </w:r>
          </w:p>
          <w:p>
            <w:pPr>
              <w:spacing w:after="40"/>
            </w:pPr>
            <w:r>
              <w:rPr>
                <w:rFonts w:ascii="Arial" w:hAnsi="Arial"/>
                <w:b/>
                <w:color w:val="10110F"/>
                <w:sz w:val="20"/>
              </w:rPr>
              <w:t>Layan Oraidi</w:t>
            </w:r>
            <w:r>
              <w:rPr>
                <w:rFonts w:ascii="Arial" w:hAnsi="Arial"/>
                <w:b w:val="0"/>
                <w:color w:val="5E625A"/>
                <w:sz w:val="18"/>
              </w:rPr>
              <w:t xml:space="preserve"> · Founder &amp; Research Director</w:t>
            </w:r>
          </w:p>
          <w:p>
            <w:pPr>
              <w:spacing w:after="80" w:line="269" w:lineRule="auto"/>
            </w:pPr>
            <w:r>
              <w:rPr>
                <w:rFonts w:ascii="Arial" w:hAnsi="Arial"/>
                <w:b w:val="0"/>
                <w:color w:val="5E625A"/>
                <w:sz w:val="17"/>
              </w:rPr>
              <w:t>Accepted contributors: 0 · Confirmed research collaborators: 0. People are added only after a verified public contribution and with consent.</w:t>
            </w:r>
          </w:p>
        </w:tc>
        <w:tc>
          <w:tcPr>
            <w:tcW w:type="dxa" w:w="5400"/>
            <w:tcMar>
              <w:top w:w="175" w:type="dxa"/>
              <w:start w:w="0" w:type="dxa"/>
              <w:bottom w:w="100" w:type="dxa"/>
              <w:end w:w="250" w:type="dxa"/>
            </w:tcMar>
          </w:tcPr>
          <w:p>
            <w:pPr>
              <w:keepNext/>
              <w:spacing w:after="140"/>
            </w:pPr>
            <w:r>
              <w:rPr>
                <w:rFonts w:ascii="Arial" w:hAnsi="Arial"/>
                <w:b/>
                <w:color w:val="1647FF"/>
                <w:sz w:val="30"/>
              </w:rPr>
              <w:t>Flagship outputs</w:t>
            </w:r>
          </w:p>
          <w:p>
            <w:pPr>
              <w:spacing w:after="20"/>
            </w:pPr>
            <w:r>
              <w:rPr>
                <w:rFonts w:ascii="Arial" w:hAnsi="Arial"/>
                <w:b/>
                <w:color w:val="10110F"/>
                <w:sz w:val="18"/>
              </w:rPr>
              <w:t>Economic Narrative &amp; Market Stress Observatory</w:t>
            </w:r>
          </w:p>
          <w:p>
            <w:pPr>
              <w:spacing w:after="60"/>
            </w:pPr>
            <w:r>
              <w:rPr>
                <w:rFonts w:ascii="Arial" w:hAnsi="Arial"/>
                <w:b w:val="0"/>
                <w:color w:val="5E625A"/>
                <w:sz w:val="16"/>
              </w:rPr>
              <w:t>v0.3.0-rc1 · 48 rows · 30 official releases · independent audit pending.</w:t>
            </w:r>
          </w:p>
          <w:p>
            <w:pPr>
              <w:spacing w:after="20"/>
            </w:pPr>
            <w:r>
              <w:rPr>
                <w:rFonts w:ascii="Arial" w:hAnsi="Arial"/>
                <w:b/>
                <w:color w:val="10110F"/>
                <w:sz w:val="18"/>
              </w:rPr>
              <w:t>MENA Firm AI &amp; Labor Adjustment</w:t>
            </w:r>
          </w:p>
          <w:p>
            <w:pPr>
              <w:spacing w:after="60"/>
            </w:pPr>
            <w:r>
              <w:rPr>
                <w:rFonts w:ascii="Arial" w:hAnsi="Arial"/>
                <w:b w:val="0"/>
                <w:color w:val="5E625A"/>
                <w:sz w:val="16"/>
              </w:rPr>
              <w:t>v0.2.0a2 · 176/400 numeric firm-years · 168/176 source hashes.</w:t>
            </w:r>
          </w:p>
          <w:p>
            <w:pPr>
              <w:spacing w:after="20"/>
            </w:pPr>
            <w:r>
              <w:rPr>
                <w:rFonts w:ascii="Arial" w:hAnsi="Arial"/>
                <w:b/>
                <w:color w:val="10110F"/>
                <w:sz w:val="18"/>
              </w:rPr>
              <w:t>Workshop 001</w:t>
            </w:r>
          </w:p>
          <w:p>
            <w:pPr>
              <w:spacing w:after="60"/>
            </w:pPr>
            <w:r>
              <w:rPr>
                <w:rFonts w:ascii="Arial" w:hAnsi="Arial"/>
                <w:b w:val="0"/>
                <w:color w:val="5E625A"/>
                <w:sz w:val="16"/>
              </w:rPr>
              <w:t>Scheduled 23 Aug 2026 · complete teaching kit · not yet delivered.</w:t>
            </w:r>
          </w:p>
          <w:p>
            <w:pPr>
              <w:keepNext/>
              <w:spacing w:after="140"/>
            </w:pPr>
            <w:r>
              <w:rPr>
                <w:rFonts w:ascii="Arial" w:hAnsi="Arial"/>
                <w:b/>
                <w:color w:val="1647FF"/>
                <w:sz w:val="30"/>
              </w:rPr>
              <w:t>Open Science commitments</w:t>
            </w:r>
          </w:p>
          <w:p>
            <w:pPr>
              <w:spacing w:after="80" w:line="269" w:lineRule="auto"/>
            </w:pPr>
            <w:r>
              <w:rPr>
                <w:rFonts w:ascii="Arial" w:hAnsi="Arial"/>
                <w:b w:val="0"/>
                <w:color w:val="10110F"/>
                <w:sz w:val="17"/>
              </w:rPr>
              <w:t>Version data and revisions · publish methods and code · preserve provenance · attach rights and licenses · disclose conflicts · maintain correction routes · report nulls, failures and validation limits.</w:t>
            </w:r>
          </w:p>
        </w:tc>
      </w:tr>
    </w:tbl>
    <w:tbl>
      <w:tblPr>
        <w:tblW w:type="dxa" w:w="10800"/>
        <w:tblLayout w:type="fixed"/>
        <w:tblLook w:firstColumn="1" w:firstRow="1" w:lastColumn="0" w:lastRow="0" w:noHBand="0" w:noVBand="1" w:val="04A0"/>
        <w:tblInd w:w="0" w:type="dxa"/>
        <w:tblBorders>
          <w:top w:val="nil"/>
          <w:left w:val="nil"/>
          <w:bottom w:val="nil"/>
          <w:right w:val="nil"/>
          <w:insideH w:val="nil"/>
          <w:insideV w:val="nil"/>
        </w:tblBorders>
      </w:tblPr>
      <w:tblGrid>
        <w:gridCol w:w="5400"/>
        <w:gridCol w:w="5400"/>
      </w:tblGrid>
      <w:tr>
        <w:tc>
          <w:tcPr>
            <w:tcW w:type="dxa" w:w="5400"/>
            <w:shd w:fill="E8E5DC"/>
            <w:tcMar>
              <w:top w:w="125" w:type="dxa"/>
              <w:start w:w="160" w:type="dxa"/>
              <w:bottom w:w="125" w:type="dxa"/>
              <w:end w:w="160" w:type="dxa"/>
            </w:tcMar>
          </w:tcPr>
          <w:p>
            <w:pPr>
              <w:keepNext/>
              <w:spacing w:after="140"/>
            </w:pPr>
            <w:r>
              <w:rPr>
                <w:rFonts w:ascii="Arial" w:hAnsi="Arial"/>
                <w:b/>
                <w:color w:val="1647FF"/>
                <w:sz w:val="22"/>
              </w:rPr>
              <w:t>Regional network</w:t>
            </w:r>
          </w:p>
          <w:p>
            <w:pPr>
              <w:spacing w:after="0" w:line="269" w:lineRule="auto"/>
            </w:pPr>
            <w:r>
              <w:rPr>
                <w:rFonts w:ascii="Arial" w:hAnsi="Arial"/>
                <w:b w:val="0"/>
                <w:color w:val="10110F"/>
                <w:sz w:val="17"/>
              </w:rPr>
              <w:t>FORM application in progress (August 2026). No membership, partnership or endorsement is claimed while confirmation is pending.</w:t>
            </w:r>
          </w:p>
        </w:tc>
        <w:tc>
          <w:tcPr>
            <w:tcW w:type="dxa" w:w="5400"/>
            <w:shd w:fill="E8E5DC"/>
            <w:tcMar>
              <w:top w:w="125" w:type="dxa"/>
              <w:start w:w="160" w:type="dxa"/>
              <w:bottom w:w="125" w:type="dxa"/>
              <w:end w:w="160" w:type="dxa"/>
            </w:tcMar>
          </w:tcPr>
          <w:p>
            <w:pPr>
              <w:keepNext/>
              <w:spacing w:after="140"/>
            </w:pPr>
            <w:r>
              <w:rPr>
                <w:rFonts w:ascii="Arial" w:hAnsi="Arial"/>
                <w:b/>
                <w:color w:val="1647FF"/>
                <w:sz w:val="22"/>
              </w:rPr>
              <w:t>Contact</w:t>
            </w:r>
          </w:p>
          <w:p>
            <w:pPr>
              <w:spacing w:after="0" w:line="269" w:lineRule="auto"/>
            </w:pPr>
            <w:r>
              <w:rPr>
                <w:rFonts w:ascii="Arial" w:hAnsi="Arial"/>
                <w:b w:val="0"/>
                <w:color w:val="10110F"/>
                <w:sz w:val="17"/>
              </w:rPr>
              <w:t>Temporary route: layanoraidi@gmail.com</w:t>
              <w:br/>
              <w:t>github.com/layan985/mena-open-evidence-lab</w:t>
            </w:r>
          </w:p>
        </w:tc>
      </w:tr>
    </w:tbl>
    <w:sectPr w:rsidR="00FC693F" w:rsidRPr="0006063C" w:rsidSect="00034616">
      <w:footerReference w:type="default" r:id="rId10"/>
      <w:pgSz w:w="12240" w:h="15840"/>
      <w:pgMar w:top="691" w:right="792" w:bottom="691" w:left="792"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5E625A"/>
        <w:sz w:val="14"/>
      </w:rPr>
      <w:t>MENA OPEN DATA &amp; EVIDENCE LAB  ·  RESEARCH  ·  DATA  ·  METHODS  ·  OPEN SCIENCE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9" w:lineRule="auto"/>
    </w:pPr>
    <w:rPr>
      <w:rFonts w:ascii="Arial" w:hAnsi="Arial"/>
      <w:color w:val="10110F"/>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MENA Open Data &amp; Evidence Lab — Institutional Profile</dc:title>
  <dc:subject>Mission, research areas, infrastructure, governance, leadership and Open Science commitments</dc:subject>
  <dc:creator>MENA Open Data &amp; Evidence Lab</dc:creator>
  <cp:keywords>MENA, open data, evidence, research, open science</cp:keywords>
  <dc:description>generated by python-docx</dc:description>
  <cp:lastModifiedBy/>
  <cp:revision>1</cp:revision>
  <dcterms:created xsi:type="dcterms:W3CDTF">2013-12-23T23:15:00Z</dcterms:created>
  <dcterms:modified xsi:type="dcterms:W3CDTF">2013-12-23T23:15:00Z</dcterms:modified>
  <cp:category/>
</cp:coreProperties>
</file>